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92" w:rightChars="-44"/>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关于举办2021年第二期全民艺术普及</w:t>
      </w:r>
    </w:p>
    <w:p>
      <w:pPr>
        <w:keepNext w:val="0"/>
        <w:keepLines w:val="0"/>
        <w:pageBreakBefore w:val="0"/>
        <w:widowControl w:val="0"/>
        <w:kinsoku/>
        <w:wordWrap/>
        <w:overflowPunct/>
        <w:topLinePunct w:val="0"/>
        <w:autoSpaceDE/>
        <w:autoSpaceDN/>
        <w:bidi w:val="0"/>
        <w:adjustRightInd/>
        <w:snapToGrid/>
        <w:spacing w:line="560" w:lineRule="exact"/>
        <w:ind w:right="-92" w:rightChars="-44"/>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进机关公益培训班的通知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省直各部门各单位机关党委：</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推动《中华人民共和国公共文化服务保障法》的实施，进一步落实公共文化服务效能提升，构建现代公共文化服务体系，深入开展全民艺术普及活动，繁荣群众文艺，搭建展示平台，经研究决定，举办2021年第二期全民艺术普及进机关公益培训班。现将有关事项通知如下：</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黑体" w:hAnsi="黑体" w:eastAsia="黑体" w:cs="黑体"/>
          <w:b w:val="0"/>
          <w:bCs w:val="0"/>
          <w:caps w:val="0"/>
          <w:color w:val="auto"/>
          <w:spacing w:val="0"/>
          <w:sz w:val="32"/>
          <w:szCs w:val="32"/>
          <w:u w:val="none"/>
          <w:lang w:eastAsia="zh-CN"/>
        </w:rPr>
      </w:pPr>
      <w:r>
        <w:rPr>
          <w:rFonts w:hint="eastAsia" w:ascii="黑体" w:hAnsi="黑体" w:eastAsia="黑体" w:cs="黑体"/>
          <w:b w:val="0"/>
          <w:bCs w:val="0"/>
          <w:caps w:val="0"/>
          <w:color w:val="auto"/>
          <w:spacing w:val="0"/>
          <w:sz w:val="32"/>
          <w:szCs w:val="32"/>
          <w:u w:val="none"/>
          <w:lang w:eastAsia="zh-CN"/>
        </w:rPr>
        <w:t>一、培训时间</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u w:val="none"/>
          <w:lang w:val="en-US" w:eastAsia="zh-CN"/>
        </w:rPr>
      </w:pPr>
      <w:r>
        <w:rPr>
          <w:rFonts w:hint="eastAsia" w:ascii="仿宋_GB2312" w:hAnsi="仿宋_GB2312" w:eastAsia="仿宋_GB2312" w:cs="仿宋_GB2312"/>
          <w:kern w:val="2"/>
          <w:sz w:val="32"/>
          <w:szCs w:val="32"/>
          <w:lang w:val="en-US" w:eastAsia="zh-CN"/>
        </w:rPr>
        <w:t>2021年10</w:t>
      </w:r>
      <w:r>
        <w:rPr>
          <w:rFonts w:hint="eastAsia" w:ascii="仿宋_GB2312" w:hAnsi="仿宋_GB2312" w:eastAsia="仿宋_GB2312" w:cs="仿宋_GB2312"/>
          <w:color w:val="auto"/>
          <w:kern w:val="2"/>
          <w:sz w:val="32"/>
          <w:szCs w:val="32"/>
          <w:u w:val="none"/>
          <w:lang w:val="en-US" w:eastAsia="zh-CN"/>
        </w:rPr>
        <w:t>月-12月</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黑体" w:hAnsi="黑体" w:eastAsia="黑体" w:cs="黑体"/>
          <w:b w:val="0"/>
          <w:bCs w:val="0"/>
          <w:caps w:val="0"/>
          <w:color w:val="auto"/>
          <w:spacing w:val="0"/>
          <w:sz w:val="32"/>
          <w:szCs w:val="32"/>
          <w:u w:val="none"/>
          <w:lang w:val="en-US" w:eastAsia="zh-CN"/>
        </w:rPr>
      </w:pPr>
      <w:r>
        <w:rPr>
          <w:rFonts w:hint="eastAsia" w:ascii="黑体" w:hAnsi="黑体" w:eastAsia="黑体" w:cs="黑体"/>
          <w:b w:val="0"/>
          <w:bCs w:val="0"/>
          <w:caps w:val="0"/>
          <w:color w:val="auto"/>
          <w:spacing w:val="0"/>
          <w:sz w:val="32"/>
          <w:szCs w:val="32"/>
          <w:u w:val="none"/>
          <w:lang w:val="en-US" w:eastAsia="zh-CN"/>
        </w:rPr>
        <w:t>二、培训地点</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u w:val="none"/>
          <w:lang w:val="en-US" w:eastAsia="zh-CN"/>
        </w:rPr>
      </w:pPr>
      <w:r>
        <w:rPr>
          <w:rFonts w:hint="eastAsia" w:ascii="仿宋_GB2312" w:hAnsi="仿宋_GB2312" w:eastAsia="仿宋_GB2312" w:cs="仿宋_GB2312"/>
          <w:color w:val="auto"/>
          <w:kern w:val="2"/>
          <w:sz w:val="32"/>
          <w:szCs w:val="32"/>
          <w:u w:val="none"/>
          <w:lang w:val="en-US" w:eastAsia="zh-CN"/>
        </w:rPr>
        <w:t>山东省文化馆（线下培训）</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黑体" w:hAnsi="黑体" w:eastAsia="黑体" w:cs="黑体"/>
          <w:b w:val="0"/>
          <w:bCs w:val="0"/>
          <w:caps w:val="0"/>
          <w:color w:val="auto"/>
          <w:spacing w:val="0"/>
          <w:sz w:val="32"/>
          <w:szCs w:val="32"/>
          <w:u w:val="none"/>
          <w:lang w:val="en-US" w:eastAsia="zh-CN"/>
        </w:rPr>
      </w:pPr>
      <w:r>
        <w:rPr>
          <w:rFonts w:hint="eastAsia" w:ascii="黑体" w:hAnsi="黑体" w:eastAsia="黑体" w:cs="黑体"/>
          <w:b w:val="0"/>
          <w:bCs w:val="0"/>
          <w:caps w:val="0"/>
          <w:color w:val="auto"/>
          <w:spacing w:val="0"/>
          <w:sz w:val="32"/>
          <w:szCs w:val="32"/>
          <w:u w:val="none"/>
          <w:lang w:val="en-US" w:eastAsia="zh-CN"/>
        </w:rPr>
        <w:t>三、培训对象</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u w:val="none"/>
          <w:lang w:val="en-US" w:eastAsia="zh-CN"/>
        </w:rPr>
        <w:t>党组织关系隶属省委省直机关工委管理的省直机关各部门各单位（一级厅局）在职职工</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黑体" w:hAnsi="黑体" w:eastAsia="黑体" w:cs="黑体"/>
          <w:b w:val="0"/>
          <w:bCs w:val="0"/>
          <w:caps w:val="0"/>
          <w:color w:val="auto"/>
          <w:spacing w:val="0"/>
          <w:sz w:val="32"/>
          <w:szCs w:val="32"/>
          <w:u w:val="none"/>
          <w:lang w:val="en-US" w:eastAsia="zh-CN"/>
        </w:rPr>
      </w:pPr>
      <w:r>
        <w:rPr>
          <w:rFonts w:hint="eastAsia" w:ascii="黑体" w:hAnsi="黑体" w:eastAsia="黑体" w:cs="黑体"/>
          <w:b w:val="0"/>
          <w:bCs w:val="0"/>
          <w:caps w:val="0"/>
          <w:color w:val="auto"/>
          <w:spacing w:val="0"/>
          <w:sz w:val="32"/>
          <w:szCs w:val="32"/>
          <w:u w:val="none"/>
          <w:lang w:val="en-US" w:eastAsia="zh-CN"/>
        </w:rPr>
        <w:t>四、培训内容</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声乐、器乐、书法、绘画、舞蹈等艺术门类</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黑体" w:hAnsi="黑体" w:eastAsia="黑体" w:cs="黑体"/>
          <w:b w:val="0"/>
          <w:bCs w:val="0"/>
          <w:caps w:val="0"/>
          <w:color w:val="auto"/>
          <w:spacing w:val="0"/>
          <w:sz w:val="32"/>
          <w:szCs w:val="32"/>
          <w:u w:val="none"/>
          <w:lang w:val="en-US" w:eastAsia="zh-CN"/>
        </w:rPr>
      </w:pPr>
      <w:r>
        <w:rPr>
          <w:rFonts w:hint="eastAsia" w:ascii="黑体" w:hAnsi="黑体" w:eastAsia="黑体" w:cs="黑体"/>
          <w:b w:val="0"/>
          <w:bCs w:val="0"/>
          <w:caps w:val="0"/>
          <w:color w:val="auto"/>
          <w:spacing w:val="0"/>
          <w:sz w:val="32"/>
          <w:szCs w:val="32"/>
          <w:u w:val="none"/>
          <w:lang w:val="en-US" w:eastAsia="zh-CN"/>
        </w:rPr>
        <w:t>开课说明</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auto"/>
          <w:spacing w:val="0"/>
          <w:sz w:val="32"/>
          <w:szCs w:val="32"/>
          <w:u w:val="none"/>
          <w:lang w:val="en-US" w:eastAsia="zh-CN"/>
        </w:rPr>
      </w:pPr>
      <w:r>
        <w:rPr>
          <w:rFonts w:hint="eastAsia" w:ascii="仿宋_GB2312" w:hAnsi="仿宋_GB2312" w:eastAsia="仿宋_GB2312" w:cs="仿宋_GB2312"/>
          <w:color w:val="auto"/>
          <w:kern w:val="2"/>
          <w:sz w:val="32"/>
          <w:szCs w:val="32"/>
          <w:u w:val="none"/>
          <w:lang w:val="en-US" w:eastAsia="zh-CN"/>
        </w:rPr>
        <w:t>本期培训共10周课，每个班次每周培训1次。</w:t>
      </w:r>
      <w:r>
        <w:rPr>
          <w:rFonts w:hint="eastAsia" w:ascii="仿宋_GB2312" w:hAnsi="仿宋_GB2312" w:eastAsia="仿宋_GB2312" w:cs="仿宋_GB2312"/>
          <w:kern w:val="2"/>
          <w:sz w:val="32"/>
          <w:szCs w:val="32"/>
          <w:lang w:val="en-US" w:eastAsia="zh-CN"/>
        </w:rPr>
        <w:t>报名人数少于拟招生人数三分之一的班级将与其他同艺术门类的班级合并开课；合并后仍达不到拟招生人数三分之一的，将进行个别调整至其他艺术门类班级。</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黑体" w:hAnsi="黑体" w:eastAsia="黑体" w:cs="黑体"/>
          <w:b w:val="0"/>
          <w:bCs w:val="0"/>
          <w:caps w:val="0"/>
          <w:color w:val="auto"/>
          <w:spacing w:val="0"/>
          <w:sz w:val="32"/>
          <w:szCs w:val="32"/>
          <w:u w:val="none"/>
          <w:lang w:val="en-US" w:eastAsia="zh-CN"/>
        </w:rPr>
      </w:pPr>
      <w:r>
        <w:rPr>
          <w:rFonts w:hint="eastAsia" w:ascii="黑体" w:hAnsi="黑体" w:eastAsia="黑体" w:cs="黑体"/>
          <w:b w:val="0"/>
          <w:bCs w:val="0"/>
          <w:caps w:val="0"/>
          <w:color w:val="auto"/>
          <w:spacing w:val="0"/>
          <w:sz w:val="32"/>
          <w:szCs w:val="32"/>
          <w:u w:val="none"/>
          <w:lang w:val="en-US" w:eastAsia="zh-CN"/>
        </w:rPr>
        <w:t>六、报名方式</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1.各部门单位统一组织报名并认真填写《2021年第二期全民艺术普及进机关公益培训班报名表》（附件2），于2021年10月11日之前将电子版</w:t>
      </w:r>
      <w:r>
        <w:rPr>
          <w:rFonts w:hint="eastAsia" w:ascii="仿宋_GB2312" w:hAnsi="仿宋_GB2312" w:eastAsia="仿宋_GB2312" w:cs="仿宋_GB2312"/>
          <w:kern w:val="2"/>
          <w:sz w:val="32"/>
          <w:szCs w:val="32"/>
          <w:u w:val="none"/>
          <w:lang w:val="en-US" w:eastAsia="zh-CN"/>
        </w:rPr>
        <w:t>发送至</w:t>
      </w:r>
      <w:r>
        <w:rPr>
          <w:rFonts w:hint="eastAsia" w:ascii="仿宋_GB2312" w:hAnsi="仿宋_GB2312" w:eastAsia="仿宋_GB2312" w:cs="仿宋_GB2312"/>
          <w:kern w:val="2"/>
          <w:sz w:val="32"/>
          <w:szCs w:val="32"/>
          <w:lang w:val="en-US" w:eastAsia="zh-CN"/>
        </w:rPr>
        <w:t>山东省文化馆辅导培训部电子邮箱，额满为止，逾期报名无效，不接收个人报名。</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2.每个部门单位限报8人，每人限报1个班次。如所报班级名额已满，可个别调整艺术门类或下期优先报名。</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u w:val="none"/>
          <w:lang w:val="en-US" w:eastAsia="zh-CN"/>
        </w:rPr>
      </w:pPr>
      <w:r>
        <w:rPr>
          <w:rFonts w:hint="eastAsia" w:ascii="仿宋_GB2312" w:hAnsi="仿宋_GB2312" w:eastAsia="仿宋_GB2312" w:cs="仿宋_GB2312"/>
          <w:color w:val="auto"/>
          <w:kern w:val="2"/>
          <w:sz w:val="32"/>
          <w:szCs w:val="32"/>
          <w:u w:val="none"/>
          <w:lang w:val="en-US" w:eastAsia="zh-CN"/>
        </w:rPr>
        <w:t>3.学员应提前申请山东省健康码，凭绿码参加培训，并主动配合工作人员接受体温测量、消毒及身份核验等程序。</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4.各部门单位负责人发送报名表之后，请务必添加微信“18678869589”（微信名：陈天航），确保与本期培训班负责人沟通顺畅。</w:t>
      </w:r>
    </w:p>
    <w:p>
      <w:pPr>
        <w:keepNext w:val="0"/>
        <w:keepLines w:val="0"/>
        <w:pageBreakBefore w:val="0"/>
        <w:widowControl/>
        <w:kinsoku/>
        <w:wordWrap/>
        <w:overflowPunct/>
        <w:topLinePunct w:val="0"/>
        <w:autoSpaceDE/>
        <w:autoSpaceDN/>
        <w:bidi w:val="0"/>
        <w:adjustRightInd/>
        <w:snapToGrid/>
        <w:spacing w:line="540" w:lineRule="exact"/>
        <w:ind w:left="638" w:leftChars="304" w:right="0" w:rightChars="0" w:firstLine="0" w:firstLineChars="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sz w:val="32"/>
          <w:szCs w:val="32"/>
          <w:lang w:val="en-US" w:eastAsia="zh-CN"/>
        </w:rPr>
        <w:t>联系人：陈天航，电话：0531-81300619，18678869589</w:t>
      </w:r>
      <w:r>
        <w:rPr>
          <w:rFonts w:hint="eastAsia" w:ascii="仿宋_GB2312" w:hAnsi="仿宋_GB2312" w:eastAsia="仿宋_GB2312" w:cs="仿宋_GB2312"/>
          <w:kern w:val="2"/>
          <w:sz w:val="32"/>
          <w:szCs w:val="32"/>
          <w:lang w:val="en-US" w:eastAsia="zh-CN"/>
        </w:rPr>
        <w:t>山东省文化馆辅导培训部邮箱地址：</w:t>
      </w:r>
      <w:r>
        <w:rPr>
          <w:rFonts w:hint="eastAsia" w:ascii="仿宋_GB2312" w:hAnsi="仿宋_GB2312" w:eastAsia="仿宋_GB2312" w:cs="仿宋_GB2312"/>
          <w:color w:val="auto"/>
          <w:kern w:val="2"/>
          <w:sz w:val="32"/>
          <w:szCs w:val="32"/>
          <w:u w:val="none"/>
          <w:lang w:val="en-US" w:eastAsia="zh-CN"/>
        </w:rPr>
        <w:fldChar w:fldCharType="begin"/>
      </w:r>
      <w:r>
        <w:rPr>
          <w:rFonts w:hint="eastAsia" w:ascii="仿宋_GB2312" w:hAnsi="仿宋_GB2312" w:eastAsia="仿宋_GB2312" w:cs="仿宋_GB2312"/>
          <w:color w:val="auto"/>
          <w:kern w:val="2"/>
          <w:sz w:val="32"/>
          <w:szCs w:val="32"/>
          <w:u w:val="none"/>
          <w:lang w:val="en-US" w:eastAsia="zh-CN"/>
        </w:rPr>
        <w:instrText xml:space="preserve"> HYPERLINK "mailto:sysgpxb@163.com。" </w:instrText>
      </w:r>
      <w:r>
        <w:rPr>
          <w:rFonts w:hint="eastAsia" w:ascii="仿宋_GB2312" w:hAnsi="仿宋_GB2312" w:eastAsia="仿宋_GB2312" w:cs="仿宋_GB2312"/>
          <w:color w:val="auto"/>
          <w:kern w:val="2"/>
          <w:sz w:val="32"/>
          <w:szCs w:val="32"/>
          <w:u w:val="none"/>
          <w:lang w:val="en-US" w:eastAsia="zh-CN"/>
        </w:rPr>
        <w:fldChar w:fldCharType="separate"/>
      </w:r>
      <w:r>
        <w:rPr>
          <w:rStyle w:val="7"/>
          <w:rFonts w:hint="eastAsia" w:ascii="仿宋_GB2312" w:hAnsi="仿宋_GB2312" w:eastAsia="仿宋_GB2312" w:cs="仿宋_GB2312"/>
          <w:color w:val="auto"/>
          <w:kern w:val="2"/>
          <w:sz w:val="32"/>
          <w:szCs w:val="32"/>
          <w:u w:val="none"/>
          <w:lang w:val="en-US" w:eastAsia="zh-CN"/>
        </w:rPr>
        <w:t>sysgpxb@163.com</w:t>
      </w:r>
      <w:r>
        <w:rPr>
          <w:rFonts w:hint="eastAsia" w:ascii="仿宋_GB2312" w:hAnsi="仿宋_GB2312" w:eastAsia="仿宋_GB2312" w:cs="仿宋_GB2312"/>
          <w:color w:val="auto"/>
          <w:kern w:val="2"/>
          <w:sz w:val="32"/>
          <w:szCs w:val="32"/>
          <w:u w:val="none"/>
          <w:lang w:val="en-US" w:eastAsia="zh-CN"/>
        </w:rPr>
        <w:fldChar w:fldCharType="end"/>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附件：1.2021年第二期全民艺术普及进机关公益培训班课程表</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2.2021年第二期全民艺术普及进机关公益培训班报名表</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山东省省直机关精神文明建设委员会办公室</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2021年9月29</w:t>
      </w:r>
      <w:bookmarkStart w:id="0" w:name="_GoBack"/>
      <w:bookmarkEnd w:id="0"/>
      <w:r>
        <w:rPr>
          <w:rFonts w:hint="eastAsia" w:ascii="仿宋_GB2312" w:hAnsi="仿宋_GB2312" w:eastAsia="仿宋_GB2312" w:cs="仿宋_GB2312"/>
          <w:sz w:val="32"/>
          <w:szCs w:val="32"/>
          <w:lang w:val="en-US" w:eastAsia="zh-CN"/>
        </w:rPr>
        <w:t>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jc w:val="left"/>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720" w:num="1"/>
          <w:rtlGutter w:val="0"/>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bidi w:val="0"/>
        <w:jc w:val="center"/>
        <w:rPr>
          <w:rFonts w:hint="eastAsia"/>
          <w:b/>
          <w:bCs/>
          <w:sz w:val="44"/>
          <w:szCs w:val="44"/>
          <w:lang w:val="en-US" w:eastAsia="zh-CN"/>
        </w:rPr>
      </w:pPr>
      <w:r>
        <w:rPr>
          <w:rFonts w:hint="eastAsia" w:ascii="仿宋" w:hAnsi="仿宋" w:eastAsia="仿宋" w:cs="仿宋"/>
          <w:b/>
          <w:bCs/>
          <w:sz w:val="44"/>
          <w:szCs w:val="44"/>
          <w:lang w:val="en-US" w:eastAsia="zh-CN"/>
        </w:rPr>
        <w:t>2021年第二期全民艺术普及进机关公益培训班课程表</w:t>
      </w:r>
    </w:p>
    <w:tbl>
      <w:tblPr>
        <w:tblStyle w:val="8"/>
        <w:tblW w:w="14032" w:type="dxa"/>
        <w:tblInd w:w="0" w:type="dxa"/>
        <w:shd w:val="clear" w:color="auto" w:fill="auto"/>
        <w:tblLayout w:type="fixed"/>
        <w:tblCellMar>
          <w:top w:w="0" w:type="dxa"/>
          <w:left w:w="108" w:type="dxa"/>
          <w:bottom w:w="0" w:type="dxa"/>
          <w:right w:w="108" w:type="dxa"/>
        </w:tblCellMar>
      </w:tblPr>
      <w:tblGrid>
        <w:gridCol w:w="776"/>
        <w:gridCol w:w="2456"/>
        <w:gridCol w:w="1336"/>
        <w:gridCol w:w="2106"/>
        <w:gridCol w:w="2386"/>
        <w:gridCol w:w="1896"/>
        <w:gridCol w:w="3076"/>
      </w:tblGrid>
      <w:tr>
        <w:tblPrEx>
          <w:shd w:val="clear" w:color="auto" w:fill="auto"/>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班级</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招生人数</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上课地点</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上课时间</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首次开课时间</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备注</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葫芦丝基础班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培训室4</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周六9:00-10:20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自备乐器</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葫芦丝提高班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培训室4</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周六10:20-11:40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自备乐器</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二胡基础班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培训室4</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周日15:00-16:20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自备乐器</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二胡提高班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培训室4</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周日16:20-17:40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自备乐器</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声乐基础班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4楼多功能厅</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周日9:20-10:40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声乐提高班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4楼多功能厅</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周日10:40-12:00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书法基础一班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4楼“望山阁”</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周六8:30-9:50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自备笔墨纸砚及毛毡布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书法基础二班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4楼“望山阁”</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周六9:50-11:10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自备笔墨纸砚及毛毡布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书法提高班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4楼“望山阁”</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周六11:10-12:30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自备笔墨纸砚及毛毡布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形体舞蹈基础一班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4楼舞蹈排练厅</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周日13:30-14:50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自备舞蹈练功服及软底练功鞋</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形体舞蹈基础二班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4楼舞蹈排练厅</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周日14:50-16:10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自备舞蹈练功服及软底练功鞋</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形体舞蹈提高班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4楼舞蹈排练厅</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周日16:10-17:30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自备舞蹈练功服及软底练功鞋</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水彩画基础班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培训室1</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周六9:00-10:20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自备画材及毛毡布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水彩画提高班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培训室1</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周六10:20-11:40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自备画材及毛毡布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国画基础班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4楼“望山阁”</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周六14:00-15:20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自备画材及毛毡布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国画提高班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4楼“望山阁”</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周六15:20-16:40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自备画材及毛毡布</w:t>
            </w: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朗诵基础班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培训室4</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周六14:30-15:50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朗诵提高班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培训室4</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周六15:50-17:10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乐理基础班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4楼多功能厅</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周日17:40-19:00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Layout w:type="fixed"/>
          <w:tblCellMar>
            <w:top w:w="0" w:type="dxa"/>
            <w:left w:w="108" w:type="dxa"/>
            <w:bottom w:w="0" w:type="dxa"/>
            <w:right w:w="108" w:type="dxa"/>
          </w:tblCellMar>
        </w:tblPrEx>
        <w:trPr>
          <w:trHeight w:val="62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空灵鼓班</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培训教室5</w:t>
            </w:r>
          </w:p>
        </w:tc>
        <w:tc>
          <w:tcPr>
            <w:tcW w:w="2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周日15:00-16:20</w:t>
            </w:r>
          </w:p>
        </w:tc>
        <w:tc>
          <w:tcPr>
            <w:tcW w:w="1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2021.10.17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自备乐器</w:t>
            </w:r>
          </w:p>
        </w:tc>
      </w:tr>
    </w:tbl>
    <w:p>
      <w:pPr>
        <w:bidi w:val="0"/>
        <w:jc w:val="center"/>
        <w:rPr>
          <w:rFonts w:hint="default"/>
          <w:b/>
          <w:bCs/>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黑体" w:hAnsi="黑体" w:eastAsia="黑体" w:cs="黑体"/>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附件2</w:t>
      </w:r>
    </w:p>
    <w:tbl>
      <w:tblPr>
        <w:tblStyle w:val="9"/>
        <w:tblW w:w="1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659"/>
        <w:gridCol w:w="905"/>
        <w:gridCol w:w="906"/>
        <w:gridCol w:w="2178"/>
        <w:gridCol w:w="4434"/>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28" w:type="dxa"/>
            <w:gridSpan w:val="7"/>
            <w:tcBorders>
              <w:top w:val="nil"/>
              <w:left w:val="nil"/>
              <w:bottom w:val="single" w:color="auto" w:sz="4" w:space="0"/>
              <w:right w:val="nil"/>
            </w:tcBorders>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right="0" w:rightChars="0"/>
              <w:jc w:val="center"/>
              <w:textAlignment w:val="auto"/>
              <w:outlineLvl w:val="9"/>
              <w:rPr>
                <w:rFonts w:hint="eastAsia" w:ascii="仿宋" w:hAnsi="仿宋" w:eastAsia="仿宋" w:cs="仿宋"/>
                <w:color w:val="auto"/>
                <w:kern w:val="0"/>
                <w:sz w:val="32"/>
                <w:szCs w:val="32"/>
                <w:vertAlign w:val="baseline"/>
                <w:lang w:val="en-US" w:eastAsia="zh-CN"/>
              </w:rPr>
            </w:pPr>
            <w:r>
              <w:rPr>
                <w:rFonts w:hint="eastAsia" w:ascii="仿宋" w:hAnsi="仿宋" w:eastAsia="仿宋" w:cs="仿宋"/>
                <w:b/>
                <w:bCs/>
                <w:kern w:val="2"/>
                <w:sz w:val="44"/>
                <w:szCs w:val="44"/>
                <w:lang w:val="en-US" w:eastAsia="zh-CN"/>
              </w:rPr>
              <w:t>2021年第二期全民艺术普及进机关公益培训班报名表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4028" w:type="dxa"/>
            <w:gridSpan w:val="7"/>
            <w:tcBorders>
              <w:top w:val="single" w:color="auto" w:sz="4" w:space="0"/>
              <w:left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right="0" w:rightChars="0"/>
              <w:jc w:val="left"/>
              <w:textAlignment w:val="auto"/>
              <w:outlineLvl w:val="9"/>
              <w:rPr>
                <w:rFonts w:hint="default"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 xml:space="preserve">单位名称：                   报名负责人：              报名负责人电话：  </w:t>
            </w:r>
            <w:r>
              <w:rPr>
                <w:rFonts w:hint="eastAsia" w:ascii="宋体" w:hAnsi="宋体" w:cs="宋体"/>
                <w:i w:val="0"/>
                <w:color w:val="000000"/>
                <w:kern w:val="0"/>
                <w:sz w:val="28"/>
                <w:szCs w:val="28"/>
                <w:u w:val="none"/>
                <w:lang w:val="en-US" w:eastAsia="zh-CN" w:bidi="ar"/>
              </w:rPr>
              <w:t xml:space="preserve">    </w:t>
            </w:r>
            <w:r>
              <w:rPr>
                <w:rFonts w:hint="eastAsia" w:ascii="仿宋" w:hAnsi="仿宋" w:eastAsia="仿宋" w:cs="仿宋"/>
                <w:b/>
                <w:bCs/>
                <w:kern w:val="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eastAsia" w:ascii="仿宋" w:hAnsi="仿宋" w:eastAsia="仿宋" w:cs="仿宋"/>
                <w:color w:val="auto"/>
                <w:kern w:val="0"/>
                <w:sz w:val="32"/>
                <w:szCs w:val="32"/>
                <w:vertAlign w:val="baseline"/>
                <w:lang w:val="en-US" w:eastAsia="zh-CN"/>
              </w:rPr>
            </w:pPr>
          </w:p>
        </w:tc>
        <w:tc>
          <w:tcPr>
            <w:tcW w:w="165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姓名</w:t>
            </w:r>
          </w:p>
        </w:tc>
        <w:tc>
          <w:tcPr>
            <w:tcW w:w="90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性别</w:t>
            </w:r>
          </w:p>
        </w:tc>
        <w:tc>
          <w:tcPr>
            <w:tcW w:w="906"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年龄</w:t>
            </w:r>
          </w:p>
        </w:tc>
        <w:tc>
          <w:tcPr>
            <w:tcW w:w="217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拟报班级</w:t>
            </w:r>
          </w:p>
        </w:tc>
        <w:tc>
          <w:tcPr>
            <w:tcW w:w="443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身份证号</w:t>
            </w:r>
          </w:p>
        </w:tc>
        <w:tc>
          <w:tcPr>
            <w:tcW w:w="328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学员联系电话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1</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2</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3</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4</w:t>
            </w:r>
          </w:p>
        </w:tc>
        <w:tc>
          <w:tcPr>
            <w:tcW w:w="1659"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5</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6</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7</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default" w:ascii="仿宋" w:hAnsi="仿宋" w:eastAsia="仿宋" w:cs="仿宋"/>
                <w:color w:val="auto"/>
                <w:kern w:val="0"/>
                <w:sz w:val="32"/>
                <w:szCs w:val="32"/>
                <w:vertAlign w:val="baseline"/>
                <w:lang w:val="en-US" w:eastAsia="zh-CN"/>
              </w:rPr>
            </w:pPr>
            <w:r>
              <w:rPr>
                <w:rFonts w:hint="eastAsia" w:ascii="仿宋" w:hAnsi="仿宋" w:eastAsia="仿宋" w:cs="仿宋"/>
                <w:color w:val="auto"/>
                <w:kern w:val="0"/>
                <w:sz w:val="32"/>
                <w:szCs w:val="32"/>
                <w:vertAlign w:val="baseline"/>
                <w:lang w:val="en-US" w:eastAsia="zh-CN"/>
              </w:rPr>
              <w:t>8</w:t>
            </w:r>
          </w:p>
        </w:tc>
        <w:tc>
          <w:tcPr>
            <w:tcW w:w="1659"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906"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217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443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c>
          <w:tcPr>
            <w:tcW w:w="32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p>
        </w:tc>
      </w:tr>
    </w:tbl>
    <w:p>
      <w:pPr>
        <w:keepNext w:val="0"/>
        <w:keepLines w:val="0"/>
        <w:pageBreakBefore w:val="0"/>
        <w:numPr>
          <w:ilvl w:val="0"/>
          <w:numId w:val="0"/>
        </w:numPr>
        <w:kinsoku/>
        <w:wordWrap/>
        <w:overflowPunct/>
        <w:topLinePunct w:val="0"/>
        <w:autoSpaceDE/>
        <w:autoSpaceDN/>
        <w:bidi w:val="0"/>
        <w:adjustRightInd/>
        <w:snapToGrid/>
        <w:spacing w:before="0" w:after="0" w:line="520" w:lineRule="exact"/>
        <w:ind w:right="0" w:rightChars="0" w:firstLine="640" w:firstLineChars="200"/>
        <w:jc w:val="both"/>
        <w:textAlignment w:val="auto"/>
        <w:outlineLvl w:val="9"/>
      </w:pPr>
      <w:r>
        <w:rPr>
          <w:rFonts w:hint="eastAsia" w:ascii="仿宋" w:hAnsi="仿宋" w:eastAsia="仿宋" w:cs="仿宋"/>
          <w:color w:val="auto"/>
          <w:kern w:val="0"/>
          <w:sz w:val="32"/>
          <w:szCs w:val="32"/>
          <w:lang w:val="en-US" w:eastAsia="zh-CN"/>
        </w:rPr>
        <w:t>注：请将此表电子版于2021年10月11日16：30之前发送至山东省文化馆辅导培训部电子邮箱,请不要发送扫描版、手写版、图片格式或PDF格式等。</w:t>
      </w:r>
    </w:p>
    <w:sectPr>
      <w:pgSz w:w="16838" w:h="11906" w:orient="landscape"/>
      <w:pgMar w:top="1800" w:right="1440" w:bottom="1422"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2F582"/>
    <w:multiLevelType w:val="singleLevel"/>
    <w:tmpl w:val="8782F58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82405"/>
    <w:rsid w:val="03CF2A10"/>
    <w:rsid w:val="04130A2D"/>
    <w:rsid w:val="04A5557E"/>
    <w:rsid w:val="05F87AD4"/>
    <w:rsid w:val="091248F9"/>
    <w:rsid w:val="0AD52BCF"/>
    <w:rsid w:val="0B327938"/>
    <w:rsid w:val="0D020E6F"/>
    <w:rsid w:val="0D221567"/>
    <w:rsid w:val="11A314AE"/>
    <w:rsid w:val="126367E8"/>
    <w:rsid w:val="14683DC0"/>
    <w:rsid w:val="14BC5C26"/>
    <w:rsid w:val="15A776C5"/>
    <w:rsid w:val="16EE396B"/>
    <w:rsid w:val="17DF523E"/>
    <w:rsid w:val="19907254"/>
    <w:rsid w:val="1BC47575"/>
    <w:rsid w:val="1CA1367A"/>
    <w:rsid w:val="1D6B7ED1"/>
    <w:rsid w:val="1F45725B"/>
    <w:rsid w:val="1F5F1FD0"/>
    <w:rsid w:val="20AE730F"/>
    <w:rsid w:val="21B812E1"/>
    <w:rsid w:val="22B97412"/>
    <w:rsid w:val="26855525"/>
    <w:rsid w:val="27AD0AAD"/>
    <w:rsid w:val="2B9D1B8E"/>
    <w:rsid w:val="2E7A70F1"/>
    <w:rsid w:val="2EC137E6"/>
    <w:rsid w:val="314C5282"/>
    <w:rsid w:val="35374BBA"/>
    <w:rsid w:val="35FD570C"/>
    <w:rsid w:val="3C045F03"/>
    <w:rsid w:val="3C3320EC"/>
    <w:rsid w:val="3CAF7849"/>
    <w:rsid w:val="3F6C751B"/>
    <w:rsid w:val="40A03C15"/>
    <w:rsid w:val="40A82405"/>
    <w:rsid w:val="40FC5872"/>
    <w:rsid w:val="42045E0D"/>
    <w:rsid w:val="44385459"/>
    <w:rsid w:val="482C1743"/>
    <w:rsid w:val="49C14CD6"/>
    <w:rsid w:val="4ABA088E"/>
    <w:rsid w:val="4B593A12"/>
    <w:rsid w:val="4BE65EC7"/>
    <w:rsid w:val="4C164E7D"/>
    <w:rsid w:val="50BD2DA7"/>
    <w:rsid w:val="54DC3AEA"/>
    <w:rsid w:val="54F477CE"/>
    <w:rsid w:val="58994390"/>
    <w:rsid w:val="598A2F84"/>
    <w:rsid w:val="5A480A6D"/>
    <w:rsid w:val="5BD343B3"/>
    <w:rsid w:val="5BF606A1"/>
    <w:rsid w:val="5C53675E"/>
    <w:rsid w:val="5D6D18FD"/>
    <w:rsid w:val="63152EC8"/>
    <w:rsid w:val="63A672AD"/>
    <w:rsid w:val="6B4A023A"/>
    <w:rsid w:val="6E6A6BD6"/>
    <w:rsid w:val="72A00892"/>
    <w:rsid w:val="755E348F"/>
    <w:rsid w:val="75FF468E"/>
    <w:rsid w:val="7D0809C9"/>
    <w:rsid w:val="7E6B6528"/>
    <w:rsid w:val="7F862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rmal (Web)"/>
    <w:basedOn w:val="1"/>
    <w:qFormat/>
    <w:uiPriority w:val="0"/>
    <w:pP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1351</Words>
  <Characters>1855</Characters>
  <Lines>0</Lines>
  <Paragraphs>0</Paragraphs>
  <ScaleCrop>false</ScaleCrop>
  <LinksUpToDate>false</LinksUpToDate>
  <CharactersWithSpaces>1925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2019-04-01T08:42:00Z</dcterms:created>
  <dc:creator>高鑠捷（陈天航）</dc:creator>
  <cp:lastModifiedBy>admin</cp:lastModifiedBy>
  <cp:lastPrinted>2021-09-28T03:57:00Z</cp:lastPrinted>
  <dcterms:modified xsi:type="dcterms:W3CDTF">2021-09-29T08:18:45Z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3604668DEFBF4B3BB8279B81DD76BDD0</vt:lpwstr>
  </property>
</Properties>
</file>